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1.png" ContentType="image/png"/>
  <Override PartName="/word/media/rId26.png" ContentType="image/png"/>
  <Override PartName="/word/media/rId34.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this is currently 266</w:t>
      </w:r>
      <w:r>
        <w:t xml:space="preserve">)</w:t>
      </w:r>
    </w:p>
    <w:p>
      <w:pPr>
        <w:pStyle w:val="BodyText"/>
      </w:pPr>
      <w:r>
        <w:t xml:space="preserve">As the climate changes, warmer spring temperatures are causing earlier leaf-out in temperate deciduous forests, along with earlier initiation of the annual period where these ecosystems are net sinks of carbon dioxide (CO</w:t>
      </w:r>
      <w:r>
        <w:rPr>
          <w:vertAlign w:val="subscript"/>
        </w:rPr>
        <w:t xml:space="preserve">2</w:t>
      </w:r>
      <w:r>
        <w:t xml:space="preserve">).</w:t>
      </w:r>
      <w:r>
        <w:t xml:space="preserve"> </w:t>
      </w:r>
      <w:r>
        <w:t xml:space="preserve">As a result, there is a tendency towards increased growing season length and annual CO</w:t>
      </w:r>
      <w:r>
        <w:rPr>
          <w:vertAlign w:val="subscript"/>
        </w:rPr>
        <w:t xml:space="preserve">2</w:t>
      </w:r>
      <w:r>
        <w:t xml:space="preserve"> </w:t>
      </w:r>
      <w:r>
        <w:t xml:space="preserve">sequestration.</w:t>
      </w:r>
      <w:r>
        <w:t xml:space="preserve"> </w:t>
      </w:r>
      <w:r>
        <w:t xml:space="preserve">However, little is known about how spring temperatures affect tree stem growth, which consumes a modest portion of the carbon fixed annually but is critical in that wood has a long residence time in the ecosystem.</w:t>
      </w:r>
      <w:r>
        <w:t xml:space="preserve"> </w:t>
      </w:r>
      <w:r>
        <w:t xml:space="preserve">We need to know how the timing and rate of woody growth are affected by warming spring temperatures.</w:t>
      </w:r>
      <w:r>
        <w:t xml:space="preserve"> </w:t>
      </w:r>
      <w:r>
        <w:t xml:space="preserve">Here, we show that in two temperate deciduous forests warmer maximum temperatures in the spring shift growth milestones earlier in the year, but have only a modest effect on peak growing season length and little effect on annual growth.</w:t>
      </w:r>
      <w:r>
        <w:t xml:space="preserve"> </w:t>
      </w:r>
      <w:r>
        <w:t xml:space="preserve">This contrasts with the expectation</w:t>
      </w:r>
      <w:r>
        <w:t xml:space="preserve"> </w:t>
      </w:r>
      <w:r>
        <w:rPr>
          <w:i/>
        </w:rPr>
        <w:t xml:space="preserve">in most models</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It is, however, consistent with most tree-ring studies in temperate deciduous forests showing that annual growth tends to be more sensitive to climatic conditions during the peak growing season than in the spring</w:t>
      </w:r>
      <w:r>
        <w:rPr>
          <w:vertAlign w:val="superscript"/>
        </w:rPr>
        <w:t xml:space="preserve">1</w:t>
      </w:r>
      <w:r>
        <w:t xml:space="preserve">,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Thus, our findings indicate that warming spring conditions are unlikely to impact temperate deciduous forest growth sufficiently to produce any substantial negative climate change feedback.</w:t>
      </w:r>
    </w:p>
    <w:p>
      <w:r>
        <w:br w:type="page"/>
      </w:r>
    </w:p>
    <w:bookmarkEnd w:id="21"/>
    <w:bookmarkStart w:id="28"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1</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6</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w:t>
      </w:r>
      <w:r>
        <w:rPr>
          <w:vertAlign w:val="superscript"/>
        </w:rPr>
        <w:t xml:space="preserve">7</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8</w:t>
      </w:r>
      <w:r>
        <w:rPr>
          <w:i/>
        </w:rPr>
        <w:t xml:space="preserve">;</w:t>
      </w:r>
      <w:r>
        <w:rPr>
          <w:vertAlign w:val="superscript"/>
          <w:i/>
        </w:rPr>
        <w:t xml:space="preserve">9</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10</w:t>
      </w:r>
      <w:r>
        <w:t xml:space="preserve">11</w:t>
      </w:r>
      <w:r>
        <w:t xml:space="preserve">];</w:t>
      </w:r>
      <w:r>
        <w:t xml:space="preserve">12</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13</w:t>
      </w:r>
      <w:r>
        <w:t xml:space="preserve">;</w:t>
      </w:r>
      <w:r>
        <w:t xml:space="preserve"> </w:t>
      </w:r>
      <w:r>
        <w:t xml:space="preserve">14</w:t>
      </w:r>
      <w:r>
        <w:t xml:space="preserve">;</w:t>
      </w:r>
      <w:r>
        <w:t xml:space="preserve"> </w:t>
      </w:r>
      <w:r>
        <w:t xml:space="preserve">15</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2,15</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1</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 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On the other hand, earlier leaf development shows us how the growing season is advancing, but can’t tell us about the total carbon sequestered, while neither can be used to map out intra-annual growth patterns.</w:t>
      </w:r>
    </w:p>
    <w:p>
      <w:pPr>
        <w:pStyle w:val="BodyText"/>
      </w:pPr>
      <w:r>
        <w:t xml:space="preserve">Thus, while it is increasingly clear that warming spring temperatures lengthen the growing season and modestly increase annual carbon sequestration, current methods do not allow firm conclusions on the future of forests.A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rPr>
          <w:i/>
        </w:rPr>
        <w:t xml:space="preserve">(Too much detail here? how about just keeping some variation of the first and last sentences)</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bookmarkEnd w:id="25"/>
    <w:bookmarkStart w:id="27"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total annual growth (</w:t>
      </w:r>
      <m:oMath>
        <m:r>
          <m:t>Δ</m:t>
        </m:r>
        <m:r>
          <m:t>D</m:t>
        </m:r>
        <m:r>
          <m:t>B</m:t>
        </m:r>
        <m:r>
          <m:t>H</m:t>
        </m:r>
      </m:oMath>
      <w:r>
        <w:t xml:space="preserve">); and peak growing season length (</w:t>
      </w:r>
      <m:oMath>
        <m:r>
          <m:t>D</m:t>
        </m:r>
        <m:r>
          <m:t>O</m:t>
        </m:r>
        <m:sSub>
          <m:e>
            <m:r>
              <m:t>Y</m:t>
            </m:r>
          </m:e>
          <m:sub>
            <m:r>
              <m:t>75</m:t>
            </m:r>
          </m:sub>
        </m:sSub>
      </m:oMath>
      <w:r>
        <w:t xml:space="preserve">-</w:t>
      </w:r>
      <m:oMath>
        <m:r>
          <m:t>D</m:t>
        </m:r>
        <m:r>
          <m:t>O</m:t>
        </m:r>
        <m:sSub>
          <m:e>
            <m:r>
              <m:t>Y</m:t>
            </m:r>
          </m:e>
          <m:sub>
            <m:r>
              <m:t>25</m:t>
            </m:r>
          </m:sub>
        </m:sSub>
      </m:oMath>
      <w:r>
        <w:t xml:space="preserve">;</w:t>
      </w:r>
      <w:r>
        <w:t xml:space="preserve"> </w:t>
      </w:r>
      <m:oMath>
        <m:sSub>
          <m:e>
            <m:r>
              <m:t>L</m:t>
            </m:r>
          </m:e>
          <m:sub>
            <m:r>
              <m:t>p</m:t>
            </m:r>
            <m:r>
              <m:t>g</m:t>
            </m:r>
            <m:r>
              <m:t>s</m:t>
            </m:r>
          </m:sub>
        </m:sSub>
      </m:oMath>
      <w:r>
        <w:t xml:space="preserve">).</w:t>
      </w:r>
      <w:r>
        <w:rPr>
          <w:vertAlign w:val="superscript"/>
        </w:rPr>
        <w:t xml:space="preserve">16</w:t>
      </w:r>
      <w:r>
        <w:t xml:space="preserve"> </w:t>
      </w:r>
      <w:r>
        <w:t xml:space="preserve">We test the hypotheses that (1) warmer early springs result in earlier stem growth and a longer period of growth, but (2) maximum growth rates are independent of spring temperatures, and as a result (3) total annual growth increases in response to warmer spring temperatures (Fig. 1).</w:t>
      </w:r>
    </w:p>
    <w:p>
      <w:pPr>
        <w:pStyle w:val="CaptionedFigure"/>
      </w:pPr>
      <w:r>
        <w:drawing>
          <wp:inline>
            <wp:extent cx="5334000" cy="5803783"/>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6"/>
                    <a:stretch>
                      <a:fillRect/>
                    </a:stretch>
                  </pic:blipFill>
                  <pic:spPr bwMode="auto">
                    <a:xfrm>
                      <a:off x="0" y="0"/>
                      <a:ext cx="5334000" cy="5803783"/>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7"/>
    <w:bookmarkEnd w:id="28"/>
    <w:bookmarkStart w:id="36" w:name="results"/>
    <w:p>
      <w:pPr>
        <w:pStyle w:val="Heading1"/>
      </w:pPr>
      <w:r>
        <w:t xml:space="preserve">(Results)</w:t>
      </w:r>
    </w:p>
    <w:bookmarkStart w:id="29" w:name="phenological-patterns"/>
    <w:p>
      <w:pPr>
        <w:pStyle w:val="Heading2"/>
      </w:pPr>
      <w:r>
        <w:t xml:space="preserve">(Phenological patterns)</w:t>
      </w:r>
    </w:p>
    <w:p>
      <w:pPr>
        <w:pStyle w:val="FirstParagraph"/>
      </w:pPr>
      <w:r>
        <w:t xml:space="preserve">(</w:t>
      </w:r>
      <w:r>
        <w:rPr>
          <w:i/>
        </w:rPr>
        <w:t xml:space="preserve">most or all of this should be cut– first paragraph too detailed for Nature, and we want minimal comparison of ring vs diffuse porous</w:t>
      </w:r>
      <w:r>
        <w:t xml:space="preserve">)</w:t>
      </w:r>
    </w:p>
    <w:p>
      <w:pPr>
        <w:pStyle w:val="BodyText"/>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S1, Table S3).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9"/>
    <w:bookmarkStart w:id="30"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30"/>
    <w:bookmarkStart w:id="33"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3"/>
    <w:bookmarkStart w:id="35"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5"/>
    <w:bookmarkEnd w:id="36"/>
    <w:bookmarkStart w:id="37"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7"/>
    <w:bookmarkStart w:id="38" w:name="content-to-incorporate"/>
    <w:p>
      <w:pPr>
        <w:pStyle w:val="Heading1"/>
      </w:pPr>
      <w:r>
        <w:t xml:space="preserve">(Content to incorporate)</w:t>
      </w:r>
    </w:p>
    <w:p>
      <w:pPr>
        <w:pStyle w:val="FirstParagraph"/>
      </w:pPr>
      <w:r>
        <w:t xml:space="preserve">17</w:t>
      </w:r>
    </w:p>
    <w:p>
      <w:pPr>
        <w:pStyle w:val="BodyText"/>
      </w:pPr>
      <w:r>
        <w:t xml:space="preserve">From Neil:</w:t>
      </w:r>
      <w:r>
        <w:t xml:space="preserve"> </w:t>
      </w:r>
      <w:r>
        <w:t xml:space="preserve">18</w:t>
      </w:r>
      <w:r>
        <w:t xml:space="preserve">,</w:t>
      </w:r>
      <w:r>
        <w:t xml:space="preserve"> </w:t>
      </w:r>
      <w:r>
        <w:t xml:space="preserve">19</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8"/>
    <w:bookmarkStart w:id="47" w:name="methods"/>
    <w:p>
      <w:pPr>
        <w:pStyle w:val="Heading1"/>
      </w:pPr>
      <w:r>
        <w:t xml:space="preserve">Methods</w:t>
      </w:r>
    </w:p>
    <w:bookmarkStart w:id="39"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9"/>
    <w:bookmarkStart w:id="44" w:name="data-collection-and-preparation"/>
    <w:p>
      <w:pPr>
        <w:pStyle w:val="Heading2"/>
      </w:pPr>
      <w:r>
        <w:t xml:space="preserve">Data collection and preparation</w:t>
      </w:r>
    </w:p>
    <w:bookmarkStart w:id="40"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16</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16</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0"/>
    <w:bookmarkStart w:id="41"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20</w:t>
      </w:r>
      <w:r>
        <w:t xml:space="preserve"> </w:t>
      </w:r>
      <w:r>
        <w:t xml:space="preserve">and trees found newly dead in annual tree mortality in 2016 and 2017.</w:t>
      </w:r>
      <w:r>
        <w:rPr>
          <w:vertAlign w:val="superscript"/>
        </w:rPr>
        <w:t xml:space="preserve">1</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21,22</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23</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24</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21</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21</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1"/>
    <w:bookmarkStart w:id="43"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25</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2">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26</w:t>
      </w:r>
      <w:r>
        <w:t xml:space="preserve"> </w:t>
      </w:r>
      <w:r>
        <w:t xml:space="preserve">again via the ForestGEO Climate Data Portal v1.0.</w:t>
      </w:r>
      <w:r>
        <w:rPr>
          <w:vertAlign w:val="superscript"/>
        </w:rPr>
        <w:t xml:space="preserve">25</w:t>
      </w:r>
    </w:p>
    <w:bookmarkEnd w:id="43"/>
    <w:bookmarkEnd w:id="44"/>
    <w:bookmarkStart w:id="45"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27</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w:t>
      </w:r>
      <w:r>
        <w:t xml:space="preserve"> </w:t>
      </w:r>
      <w:r>
        <w:t xml:space="preserve">Determining the climate variables that most strongly control all parameters is beyond the scope of this analysis.</w:t>
      </w:r>
    </w:p>
    <w:bookmarkEnd w:id="45"/>
    <w:bookmarkStart w:id="46"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28</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6"/>
    <w:bookmarkEnd w:id="47"/>
    <w:bookmarkStart w:id="48"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8"/>
    <w:bookmarkStart w:id="49" w:name="author-contributions"/>
    <w:p>
      <w:pPr>
        <w:pStyle w:val="Heading1"/>
      </w:pPr>
      <w:r>
        <w:t xml:space="preserve">Author Contributions</w:t>
      </w:r>
    </w:p>
    <w:bookmarkEnd w:id="49"/>
    <w:bookmarkStart w:id="50"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50"/>
    <w:bookmarkStart w:id="83" w:name="references"/>
    <w:p>
      <w:pPr>
        <w:pStyle w:val="Heading1"/>
      </w:pPr>
      <w:r>
        <w:t xml:space="preserve">References</w:t>
      </w:r>
    </w:p>
    <w:bookmarkStart w:id="82" w:name="refs"/>
    <w:bookmarkStart w:id="51" w:name="ref-helcoski_growing_2019"/>
    <w:p>
      <w:pPr>
        <w:pStyle w:val="Bibliography"/>
      </w:pPr>
      <w:r>
        <w:t xml:space="preserve">1.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1"/>
    <w:bookmarkStart w:id="52" w:name="ref-fu_maximum_2019"/>
    <w:p>
      <w:pPr>
        <w:pStyle w:val="Bibliography"/>
      </w:pPr>
      <w:r>
        <w:t xml:space="preserve">2.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2"/>
    <w:bookmarkStart w:id="53" w:name="ref-zani_increased_2020"/>
    <w:p>
      <w:pPr>
        <w:pStyle w:val="Bibliography"/>
      </w:pPr>
      <w:r>
        <w:t xml:space="preserve">3. Zani, D., Crowther, T. W., Mo, L., Renner, S. S. &amp; Zohner, C. M. Increased growing-season productivity drives earlier autumn leaf senescence in temperate trees. 7 (2020).</w:t>
      </w:r>
    </w:p>
    <w:bookmarkEnd w:id="53"/>
    <w:bookmarkStart w:id="54"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4"/>
    <w:bookmarkStart w:id="55"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5"/>
    <w:bookmarkStart w:id="56" w:name="ref-mathias_disentangling_2018"/>
    <w:p>
      <w:pPr>
        <w:pStyle w:val="Bibliography"/>
      </w:pPr>
      <w:r>
        <w:t xml:space="preserve">6.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56"/>
    <w:bookmarkStart w:id="57" w:name="ref-parmesan_globally_2003"/>
    <w:p>
      <w:pPr>
        <w:pStyle w:val="Bibliography"/>
      </w:pPr>
      <w:r>
        <w:t xml:space="preserve">7.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7"/>
    <w:bookmarkStart w:id="58" w:name="ref-way_tree_2011"/>
    <w:p>
      <w:pPr>
        <w:pStyle w:val="Bibliography"/>
      </w:pPr>
      <w:r>
        <w:t xml:space="preserve">8.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58"/>
    <w:bookmarkStart w:id="59" w:name="ref-klosterman_later_2018"/>
    <w:p>
      <w:pPr>
        <w:pStyle w:val="Bibliography"/>
      </w:pPr>
      <w:r>
        <w:t xml:space="preserve">9.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59"/>
    <w:bookmarkStart w:id="60" w:name="ref-ibanez_forecasting_2010"/>
    <w:p>
      <w:pPr>
        <w:pStyle w:val="Bibliography"/>
      </w:pPr>
      <w:r>
        <w:t xml:space="preserve">10.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0"/>
    <w:bookmarkStart w:id="61" w:name="ref-jeong_phenology_2011"/>
    <w:p>
      <w:pPr>
        <w:pStyle w:val="Bibliography"/>
      </w:pPr>
      <w:r>
        <w:t xml:space="preserve">11.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61"/>
    <w:bookmarkStart w:id="62" w:name="ref-crabbe_extreme_2016"/>
    <w:p>
      <w:pPr>
        <w:pStyle w:val="Bibliography"/>
      </w:pPr>
      <w:r>
        <w:t xml:space="preserve">12.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2"/>
    <w:bookmarkStart w:id="63" w:name="ref-churkina_spatial_2005"/>
    <w:p>
      <w:pPr>
        <w:pStyle w:val="Bibliography"/>
      </w:pPr>
      <w:r>
        <w:t xml:space="preserve">13.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3"/>
    <w:bookmarkStart w:id="64" w:name="ref-keenan_net_2014"/>
    <w:p>
      <w:pPr>
        <w:pStyle w:val="Bibliography"/>
      </w:pPr>
      <w:r>
        <w:t xml:space="preserve">14.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64"/>
    <w:bookmarkStart w:id="65" w:name="ref-zhou_explaining_2016"/>
    <w:p>
      <w:pPr>
        <w:pStyle w:val="Bibliography"/>
      </w:pPr>
      <w:r>
        <w:t xml:space="preserve">15.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65"/>
    <w:bookmarkStart w:id="66" w:name="ref-mcmahon_general_2015"/>
    <w:p>
      <w:pPr>
        <w:pStyle w:val="Bibliography"/>
      </w:pPr>
      <w:r>
        <w:t xml:space="preserve">16.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6"/>
    <w:bookmarkStart w:id="68" w:name="ref-delgado_differences_2020"/>
    <w:p>
      <w:pPr>
        <w:pStyle w:val="Bibliography"/>
      </w:pPr>
      <w:r>
        <w:t xml:space="preserve">17.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7">
        <w:r>
          <w:rPr>
            <w:rStyle w:val="Hyperlink"/>
          </w:rPr>
          <w:t xml:space="preserve">10.1073/pnas.2002713117</w:t>
        </w:r>
      </w:hyperlink>
      <w:r>
        <w:t xml:space="preserve">.</w:t>
      </w:r>
    </w:p>
    <w:bookmarkEnd w:id="68"/>
    <w:bookmarkStart w:id="69" w:name="ref-zhang_drought_2021"/>
    <w:p>
      <w:pPr>
        <w:pStyle w:val="Bibliography"/>
      </w:pPr>
      <w:r>
        <w:t xml:space="preserve">18.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9"/>
    <w:bookmarkStart w:id="70" w:name="ref-zhang_extended_2020"/>
    <w:p>
      <w:pPr>
        <w:pStyle w:val="Bibliography"/>
      </w:pPr>
      <w:r>
        <w:t xml:space="preserve">19.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0"/>
    <w:bookmarkStart w:id="71" w:name="ref-bourg_initial_2013"/>
    <w:p>
      <w:pPr>
        <w:pStyle w:val="Bibliography"/>
      </w:pPr>
      <w:r>
        <w:t xml:space="preserve">20.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1"/>
    <w:bookmarkStart w:id="72" w:name="ref-cook_time_1985"/>
    <w:p>
      <w:pPr>
        <w:pStyle w:val="Bibliography"/>
      </w:pPr>
      <w:r>
        <w:t xml:space="preserve">21. Cook, E. R. A Time Series Analysis Approach to Tree Ring Standardization. vol. PhD (University of Arizona, 1985).</w:t>
      </w:r>
    </w:p>
    <w:bookmarkEnd w:id="72"/>
    <w:bookmarkStart w:id="74" w:name="ref-cook_methods_1990"/>
    <w:p>
      <w:pPr>
        <w:pStyle w:val="Bibliography"/>
      </w:pPr>
      <w:r>
        <w:t xml:space="preserve">22.</w:t>
      </w:r>
      <w:r>
        <w:t xml:space="preserve"> </w:t>
      </w:r>
      <w:r>
        <w:rPr>
          <w:i/>
        </w:rPr>
        <w:t xml:space="preserve">Methods of Dendrochronology: Applications in the Environmental Sciences</w:t>
      </w:r>
      <w:r>
        <w:t xml:space="preserve">. (Springer Netherlands, 1990). doi:</w:t>
      </w:r>
      <w:hyperlink r:id="rId73">
        <w:r>
          <w:rPr>
            <w:rStyle w:val="Hyperlink"/>
          </w:rPr>
          <w:t xml:space="preserve">10.1007/978-94-015-7879-0</w:t>
        </w:r>
      </w:hyperlink>
      <w:r>
        <w:t xml:space="preserve">.</w:t>
      </w:r>
    </w:p>
    <w:bookmarkEnd w:id="74"/>
    <w:bookmarkStart w:id="75" w:name="ref-cook_calculating_1997"/>
    <w:p>
      <w:pPr>
        <w:pStyle w:val="Bibliography"/>
      </w:pPr>
      <w:r>
        <w:t xml:space="preserve">23.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5"/>
    <w:bookmarkStart w:id="76" w:name="ref-jones_estimating_1997"/>
    <w:p>
      <w:pPr>
        <w:pStyle w:val="Bibliography"/>
      </w:pPr>
      <w:r>
        <w:t xml:space="preserve">24.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6"/>
    <w:bookmarkStart w:id="78" w:name="X7472afe191c4e6f910d2bf0bfbf82e114a2f267"/>
    <w:p>
      <w:pPr>
        <w:pStyle w:val="Bibliography"/>
      </w:pPr>
      <w:r>
        <w:t xml:space="preserve">25. Anderson-Teixeira, K.</w:t>
      </w:r>
      <w:r>
        <w:t xml:space="preserve"> </w:t>
      </w:r>
      <w:r>
        <w:rPr>
          <w:i/>
        </w:rPr>
        <w:t xml:space="preserve">et al.</w:t>
      </w:r>
      <w:r>
        <w:t xml:space="preserve"> </w:t>
      </w:r>
      <w:r>
        <w:t xml:space="preserve">Forestgeo/Climate: Initial release. (2020) doi:</w:t>
      </w:r>
      <w:hyperlink r:id="rId77">
        <w:r>
          <w:rPr>
            <w:rStyle w:val="Hyperlink"/>
          </w:rPr>
          <w:t xml:space="preserve">10.5281/ZENODO.4041609</w:t>
        </w:r>
      </w:hyperlink>
      <w:r>
        <w:t xml:space="preserve">.</w:t>
      </w:r>
    </w:p>
    <w:bookmarkEnd w:id="78"/>
    <w:bookmarkStart w:id="79" w:name="ref-harris_version_2020"/>
    <w:p>
      <w:pPr>
        <w:pStyle w:val="Bibliography"/>
      </w:pPr>
      <w:r>
        <w:t xml:space="preserve">26.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9"/>
    <w:bookmarkStart w:id="80" w:name="ref-van_de_pol_identifying_2016"/>
    <w:p>
      <w:pPr>
        <w:pStyle w:val="Bibliography"/>
      </w:pPr>
      <w:r>
        <w:t xml:space="preserve">27.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0"/>
    <w:bookmarkStart w:id="81" w:name="ref-bates_fitting_2015"/>
    <w:p>
      <w:pPr>
        <w:pStyle w:val="Bibliography"/>
      </w:pPr>
      <w:r>
        <w:t xml:space="preserve">28.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34" Target="media/rId34.tiff" /><Relationship Type="http://schemas.openxmlformats.org/officeDocument/2006/relationships/hyperlink" Id="rId73" Target="https://doi.org/10.1007/978-94-015-7879-0" TargetMode="External" /><Relationship Type="http://schemas.openxmlformats.org/officeDocument/2006/relationships/hyperlink" Id="rId67" Target="https://doi.org/10.1073/pnas.2002713117" TargetMode="External" /><Relationship Type="http://schemas.openxmlformats.org/officeDocument/2006/relationships/hyperlink" Id="rId77" Target="https://doi.org/10.5281/ZENODO.4041609"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3" Target="https://doi.org/10.1007/978-94-015-7879-0" TargetMode="External" /><Relationship Type="http://schemas.openxmlformats.org/officeDocument/2006/relationships/hyperlink" Id="rId67" Target="https://doi.org/10.1073/pnas.2002713117" TargetMode="External" /><Relationship Type="http://schemas.openxmlformats.org/officeDocument/2006/relationships/hyperlink" Id="rId77" Target="https://doi.org/10.5281/ZENODO.4041609" TargetMode="External" /><Relationship Type="http://schemas.openxmlformats.org/officeDocument/2006/relationships/hyperlink" Id="rId42"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2020-12-11T12:16:56Z</dcterms:created>
  <dcterms:modified xsi:type="dcterms:W3CDTF">2020-12-11T12:16:56Z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